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1DE947A9" w:rsidR="00104A14" w:rsidRDefault="00C820E8" w:rsidP="005C03DB">
      <w:pPr>
        <w:pStyle w:val="a3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A03735" w:rsidRPr="00A03735">
        <w:t>МИКОЛАЇВГАЗ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9A7DAC" w:rsidRPr="009A7DAC">
        <w:t xml:space="preserve"> </w:t>
      </w:r>
      <w:r w:rsidR="00A03735" w:rsidRPr="00A03735">
        <w:t>№1119 від 17.06.2020р.</w:t>
      </w:r>
      <w:r>
        <w:t>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72B66371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A03735" w:rsidRPr="00A03735">
        <w:t>МИКОЛАЇВГАЗ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52E5C">
        <w:trPr>
          <w:trHeight w:val="3645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5812628C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172923">
              <w:rPr>
                <w:rStyle w:val="a4"/>
                <w:b/>
                <w:color w:val="000000"/>
                <w:lang w:val="ru-RU"/>
              </w:rPr>
              <w:t>5000</w:t>
            </w:r>
            <w:bookmarkStart w:id="0" w:name="_GoBack"/>
            <w:bookmarkEnd w:id="0"/>
            <w:r w:rsidR="00952E5C" w:rsidRPr="00952E5C">
              <w:rPr>
                <w:rStyle w:val="a4"/>
                <w:b/>
                <w:color w:val="000000"/>
              </w:rPr>
              <w:t>,</w:t>
            </w:r>
            <w:r w:rsidR="00952E5C" w:rsidRPr="00952E5C">
              <w:rPr>
                <w:rStyle w:val="a4"/>
                <w:b/>
                <w:color w:val="000000"/>
                <w:lang w:val="ru-RU"/>
              </w:rPr>
              <w:t>00</w:t>
            </w:r>
            <w:r w:rsidR="00952E5C" w:rsidRPr="00952E5C">
              <w:rPr>
                <w:rStyle w:val="a4"/>
                <w:color w:val="000000"/>
                <w:lang w:val="ru-RU"/>
              </w:rPr>
              <w:t xml:space="preserve"> </w:t>
            </w:r>
            <w:r w:rsidR="009118B7" w:rsidRPr="000211CE">
              <w:rPr>
                <w:color w:val="000000"/>
                <w:shd w:val="clear" w:color="auto" w:fill="FFFFFF"/>
              </w:rPr>
              <w:t>грн/</w:t>
            </w:r>
            <w:proofErr w:type="spellStart"/>
            <w:r w:rsidR="009118B7" w:rsidRPr="000211CE">
              <w:rPr>
                <w:color w:val="000000"/>
                <w:shd w:val="clear" w:color="auto" w:fill="FFFFFF"/>
              </w:rPr>
              <w:t>МВт</w:t>
            </w:r>
            <w:proofErr w:type="spellEnd"/>
            <w:r w:rsidR="009118B7" w:rsidRPr="000211CE">
              <w:rPr>
                <w:color w:val="000000"/>
                <w:shd w:val="clear" w:color="auto" w:fill="FFFFFF"/>
              </w:rPr>
              <w:t>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  <w:tr w:rsidR="00104A14" w14:paraId="38700935" w14:textId="77777777" w:rsidTr="00952E5C">
        <w:trPr>
          <w:trHeight w:val="1964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 w:rsidP="00952E5C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066581AB" w14:textId="77777777" w:rsidR="00104A14" w:rsidRDefault="00104A1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7384149" w14:textId="77777777" w:rsidR="00952E5C" w:rsidRDefault="00952E5C" w:rsidP="00952E5C">
            <w:pPr>
              <w:pStyle w:val="TableParagraph"/>
              <w:ind w:left="140"/>
              <w:jc w:val="both"/>
            </w:pPr>
            <w:r>
              <w:t>100% оплата до 10 числа, наступного за місяцем постачання</w:t>
            </w:r>
          </w:p>
          <w:p w14:paraId="20675D39" w14:textId="642D42A4" w:rsidR="00104A14" w:rsidRDefault="00952E5C" w:rsidP="00952E5C">
            <w:pPr>
              <w:pStyle w:val="TableParagraph"/>
              <w:ind w:left="140" w:right="130"/>
              <w:jc w:val="both"/>
            </w:pPr>
            <w:r>
              <w:t>Споживач здійснює оплату за фактичний обсяг спожитої електроенергії,  до 10 числа місяця  який настав за 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68247C28" w14:textId="77777777" w:rsidR="00421D5D" w:rsidRDefault="00421D5D" w:rsidP="00421D5D">
            <w:pPr>
              <w:pStyle w:val="TableParagraph"/>
              <w:spacing w:line="290" w:lineRule="auto"/>
              <w:ind w:left="113" w:right="135"/>
              <w:rPr>
                <w:b/>
                <w:sz w:val="18"/>
                <w:szCs w:val="18"/>
              </w:rPr>
            </w:pPr>
          </w:p>
          <w:p w14:paraId="39FDD2CD" w14:textId="5ABBEDA9" w:rsidR="00104A14" w:rsidRDefault="00421D5D" w:rsidP="00421D5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77777777" w:rsidR="00104A14" w:rsidRDefault="00172923">
      <w:pPr>
        <w:spacing w:before="9" w:line="237" w:lineRule="auto"/>
        <w:ind w:left="200" w:right="126" w:firstLine="566"/>
        <w:jc w:val="both"/>
      </w:pPr>
      <w:r>
        <w:pict w14:anchorId="410602F4">
          <v:rect id="_x0000_s1030" style="position:absolute;left:0;text-align:left;margin-left:87.15pt;margin-top:-74.25pt;width:13.1pt;height:.1pt;z-index:-15824384;mso-position-horizontal-relative:page;mso-position-vertical-relative:text" stroked="f">
            <w10:wrap anchorx="page"/>
          </v:rect>
        </w:pic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lastRenderedPageBreak/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095AF515" w:rsidR="00104A14" w:rsidRPr="00A03735" w:rsidRDefault="00C820E8">
      <w:pPr>
        <w:pStyle w:val="a3"/>
        <w:spacing w:before="21" w:line="259" w:lineRule="auto"/>
        <w:ind w:left="200" w:firstLine="566"/>
        <w:rPr>
          <w:lang w:val="ru-RU"/>
        </w:rPr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A03735" w:rsidRPr="00A03735">
        <w:t>МИКОЛАЇВГАЗ ЗБУТ</w:t>
      </w:r>
      <w:r>
        <w:t>»</w:t>
      </w:r>
      <w:r>
        <w:rPr>
          <w:spacing w:val="-3"/>
        </w:rPr>
        <w:t xml:space="preserve"> </w:t>
      </w:r>
      <w:r>
        <w:t>-</w:t>
      </w:r>
      <w:r w:rsidR="009A7DAC">
        <w:t xml:space="preserve"> </w:t>
      </w:r>
      <w:r w:rsidR="00A03735" w:rsidRPr="00A03735">
        <w:rPr>
          <w:lang w:val="en-US"/>
        </w:rPr>
        <w:t>https</w:t>
      </w:r>
      <w:r w:rsidR="00A03735" w:rsidRPr="00A03735">
        <w:rPr>
          <w:lang w:val="ru-RU"/>
        </w:rPr>
        <w:t>://</w:t>
      </w:r>
      <w:proofErr w:type="spellStart"/>
      <w:r w:rsidR="00A03735" w:rsidRPr="00A03735">
        <w:rPr>
          <w:lang w:val="en-US"/>
        </w:rPr>
        <w:t>mk</w:t>
      </w:r>
      <w:proofErr w:type="spellEnd"/>
      <w:r w:rsidR="00A03735" w:rsidRPr="00A03735">
        <w:rPr>
          <w:lang w:val="ru-RU"/>
        </w:rPr>
        <w:t>.</w:t>
      </w:r>
      <w:proofErr w:type="spellStart"/>
      <w:r w:rsidR="00A03735" w:rsidRPr="00A03735">
        <w:rPr>
          <w:lang w:val="en-US"/>
        </w:rPr>
        <w:t>gaszbut</w:t>
      </w:r>
      <w:proofErr w:type="spellEnd"/>
      <w:r w:rsidR="00A03735" w:rsidRPr="00A03735">
        <w:rPr>
          <w:lang w:val="ru-RU"/>
        </w:rPr>
        <w:t>.</w:t>
      </w:r>
      <w:r w:rsidR="00A03735" w:rsidRPr="00A03735">
        <w:rPr>
          <w:lang w:val="en-US"/>
        </w:rPr>
        <w:t>com</w:t>
      </w:r>
      <w:r w:rsidR="00A03735" w:rsidRPr="00A03735">
        <w:rPr>
          <w:lang w:val="ru-RU"/>
        </w:rPr>
        <w:t>.</w:t>
      </w:r>
      <w:proofErr w:type="spellStart"/>
      <w:r w:rsidR="00A03735" w:rsidRPr="00A03735">
        <w:rPr>
          <w:lang w:val="en-US"/>
        </w:rPr>
        <w:t>ua</w:t>
      </w:r>
      <w:proofErr w:type="spellEnd"/>
      <w:r w:rsidR="00A03735" w:rsidRPr="00A03735">
        <w:rPr>
          <w:lang w:val="ru-RU"/>
        </w:rPr>
        <w:t>.</w:t>
      </w:r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364"/>
        <w:gridCol w:w="5447"/>
      </w:tblGrid>
      <w:tr w:rsidR="00104A14" w14:paraId="1E262F86" w14:textId="77777777" w:rsidTr="00EC6188">
        <w:trPr>
          <w:trHeight w:val="3377"/>
        </w:trPr>
        <w:tc>
          <w:tcPr>
            <w:tcW w:w="6364" w:type="dxa"/>
          </w:tcPr>
          <w:p w14:paraId="0747BAE0" w14:textId="673E49C6" w:rsidR="00BB7382" w:rsidRPr="00BB7382" w:rsidRDefault="00BB7382" w:rsidP="00BB7382">
            <w:pPr>
              <w:pStyle w:val="TableParagraph"/>
              <w:spacing w:line="244" w:lineRule="exact"/>
              <w:ind w:left="483"/>
              <w:jc w:val="center"/>
              <w:rPr>
                <w:b/>
                <w:lang w:val="ru-RU"/>
              </w:rPr>
            </w:pPr>
            <w:proofErr w:type="spellStart"/>
            <w:r w:rsidRPr="00BB7382">
              <w:rPr>
                <w:b/>
                <w:lang w:val="ru-RU"/>
              </w:rPr>
              <w:t>Постачальник</w:t>
            </w:r>
            <w:proofErr w:type="spellEnd"/>
          </w:p>
          <w:p w14:paraId="4D915A05" w14:textId="77777777" w:rsidR="00BB7382" w:rsidRDefault="00BB7382" w:rsidP="009A7DAC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3A4F86A8" w14:textId="77777777" w:rsidR="00A03735" w:rsidRPr="0053487B" w:rsidRDefault="00A03735" w:rsidP="00A03735">
            <w:pPr>
              <w:ind w:left="284" w:right="2149"/>
              <w:rPr>
                <w:b/>
              </w:rPr>
            </w:pPr>
            <w:r w:rsidRPr="0053487B">
              <w:rPr>
                <w:b/>
              </w:rPr>
              <w:t>ТОВ «МИКОЛАЇВГАЗ ЗБУТ»</w:t>
            </w:r>
          </w:p>
          <w:p w14:paraId="17EDA07E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ЕІС-код: 56Х9300000001704</w:t>
            </w:r>
          </w:p>
          <w:p w14:paraId="1232C3DD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Адреса: 54000, Миколаївська обл., м. Миколаїв, </w:t>
            </w:r>
          </w:p>
          <w:p w14:paraId="4090B0B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вул. 7 Слобідська, буд. 70 В/1</w:t>
            </w:r>
          </w:p>
          <w:p w14:paraId="09D7C4CF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Контактний телефон: (0512) 30-04-81             </w:t>
            </w:r>
          </w:p>
          <w:p w14:paraId="35A5DD6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Електронна адреса: company@mkgaszbut.104.ua</w:t>
            </w:r>
          </w:p>
          <w:p w14:paraId="372B14E7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IBAN: UA113264610000026032305759524 </w:t>
            </w:r>
          </w:p>
          <w:p w14:paraId="0ACDB80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у АТ «Ощадбанк»</w:t>
            </w:r>
          </w:p>
          <w:p w14:paraId="1119199E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Код ЄДРПОУ: 39589483</w:t>
            </w:r>
          </w:p>
          <w:p w14:paraId="0AF883AA" w14:textId="77777777" w:rsidR="00A03735" w:rsidRDefault="00A03735" w:rsidP="00A03735">
            <w:pPr>
              <w:pStyle w:val="a7"/>
              <w:tabs>
                <w:tab w:val="left" w:pos="3828"/>
                <w:tab w:val="left" w:pos="3969"/>
                <w:tab w:val="left" w:pos="4111"/>
                <w:tab w:val="left" w:pos="4395"/>
              </w:tabs>
              <w:spacing w:before="0" w:beforeAutospacing="0" w:after="0" w:afterAutospacing="0"/>
              <w:ind w:left="284" w:right="1610"/>
              <w:rPr>
                <w:sz w:val="22"/>
                <w:szCs w:val="22"/>
              </w:rPr>
            </w:pPr>
            <w:r w:rsidRPr="0053487B">
              <w:rPr>
                <w:sz w:val="22"/>
                <w:szCs w:val="22"/>
              </w:rPr>
              <w:t>ІПН: 395894814021</w:t>
            </w:r>
          </w:p>
          <w:p w14:paraId="7ADFCC3F" w14:textId="77777777" w:rsidR="00A03735" w:rsidRPr="0053487B" w:rsidRDefault="00172923" w:rsidP="00A03735">
            <w:pPr>
              <w:pStyle w:val="a7"/>
              <w:tabs>
                <w:tab w:val="left" w:pos="3828"/>
                <w:tab w:val="left" w:pos="3969"/>
                <w:tab w:val="left" w:pos="4111"/>
                <w:tab w:val="left" w:pos="4395"/>
              </w:tabs>
              <w:spacing w:before="0" w:beforeAutospacing="0" w:after="0" w:afterAutospacing="0"/>
              <w:ind w:left="284" w:right="1610"/>
              <w:rPr>
                <w:sz w:val="22"/>
                <w:szCs w:val="22"/>
                <w:lang w:val="uk-UA"/>
              </w:rPr>
            </w:pPr>
            <w:hyperlink r:id="rId5" w:history="1">
              <w:r w:rsidR="00A03735" w:rsidRPr="0053487B">
                <w:rPr>
                  <w:rStyle w:val="a6"/>
                  <w:lang w:val="uk-UA"/>
                </w:rPr>
                <w:t>https://mk.gaszbut.com.ua</w:t>
              </w:r>
            </w:hyperlink>
          </w:p>
          <w:p w14:paraId="169A2466" w14:textId="77777777" w:rsidR="00E26893" w:rsidRPr="00E26893" w:rsidRDefault="00E26893" w:rsidP="00E26893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7EE9D932" w14:textId="2D2869FC" w:rsidR="00104A14" w:rsidRPr="00E26893" w:rsidRDefault="00E26893" w:rsidP="00E26893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77777777" w:rsidR="00104A14" w:rsidRDefault="00172923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98AD80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5447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1D4537B5" w14:textId="77777777" w:rsidR="00104A14" w:rsidRDefault="00104A14">
            <w:pPr>
              <w:pStyle w:val="TableParagraph"/>
              <w:rPr>
                <w:sz w:val="24"/>
                <w:lang w:val="en-US"/>
              </w:rPr>
            </w:pPr>
          </w:p>
          <w:p w14:paraId="76AB95A1" w14:textId="77777777" w:rsidR="00A03735" w:rsidRDefault="00A03735">
            <w:pPr>
              <w:pStyle w:val="TableParagraph"/>
              <w:rPr>
                <w:sz w:val="24"/>
                <w:lang w:val="en-US"/>
              </w:rPr>
            </w:pPr>
          </w:p>
          <w:p w14:paraId="2F982E5C" w14:textId="77777777" w:rsidR="00A03735" w:rsidRDefault="00A03735">
            <w:pPr>
              <w:pStyle w:val="TableParagraph"/>
              <w:rPr>
                <w:sz w:val="24"/>
                <w:lang w:val="en-US"/>
              </w:rPr>
            </w:pPr>
          </w:p>
          <w:p w14:paraId="7C375669" w14:textId="77777777" w:rsidR="00A03735" w:rsidRPr="00A03735" w:rsidRDefault="00A03735">
            <w:pPr>
              <w:pStyle w:val="TableParagraph"/>
              <w:rPr>
                <w:sz w:val="24"/>
                <w:lang w:val="en-US"/>
              </w:rPr>
            </w:pPr>
          </w:p>
          <w:p w14:paraId="0376ED5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47B6970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5396EA81" w14:textId="77777777" w:rsidR="00E26893" w:rsidRDefault="00E26893" w:rsidP="00E26893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398C9E4" w14:textId="77777777" w:rsidR="00E26893" w:rsidRDefault="00E26893" w:rsidP="00E26893">
            <w:pPr>
              <w:pStyle w:val="TableParagraph"/>
              <w:rPr>
                <w:b/>
              </w:rPr>
            </w:pPr>
          </w:p>
          <w:p w14:paraId="7DE4F887" w14:textId="77777777" w:rsidR="00E26893" w:rsidRDefault="00E26893" w:rsidP="00E26893">
            <w:pPr>
              <w:pStyle w:val="TableParagraph"/>
              <w:rPr>
                <w:sz w:val="1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BDF0CE" wp14:editId="13028659">
                      <wp:extent cx="2026920" cy="8890"/>
                      <wp:effectExtent l="9525" t="9525" r="11430" b="6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EAC48" id="Группа 1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HncwIAAEwFAAAOAAAAZHJzL2Uyb0RvYy54bWykVF1uGyEQfq/UO6B9d/bHW8de2Y4qr52X&#10;tI2U9gAY2F1UFhAQr6OqUqUeoRfpDXqF5EYd2LXTOC9RakssMMPHN9/MML/YtwLtmLFcyUWUniUR&#10;YpIoymW9iL583oymEbIOS4qFkmwR3TEbXSzfvpl3umCZapSgzCAAkbbo9CJqnNNFHFvSsBbbM6WZ&#10;BGOlTIsdLE0dU4M7QG9FnCXJJO6UodoowqyF3bI3RsuAX1WMuE9VZZlDYhEBNxdGE8atH+PlHBe1&#10;wbrhZKCBX8GixVzCpUeoEjuMbg1/BtVyYpRVlTsjqo1VVXHCQgwQTZqcRHNp1K0OsdRFV+ujTCDt&#10;iU6vhiUfd9cGcQq5i5DELaTo/tfDj4ef93/g/xulXqFO1wU4Xhp9o69NHyZMrxT5asEcn9r9uu6d&#10;0bb7oCig4lungkL7yrQeAmJH+5CIu2Mi2N4hAptZkk1mGeSLgG06nQ15Ig0k89kh0qyHY+N0lvVn&#10;0tzzjnHR3xYYDox8OFBr9lFO+39y3jRYs5Al61Ua5AQivZxXXDI07WUMDit5bYKotrAg5wsVOvcI&#10;uDgo9Bhq0OYYKS60se6SqRb5ySIScH3QHe+urOtFObh4QKk2XIiALSTqvNzjcThgleDUG72bNfV2&#10;JQzaYd9I4Tco/MQNClbSANYwTNfD3GEu+jnwFHKIA+gcIgqd8m2WzNbT9TQf5dlkPcqTshy936zy&#10;0WSTnr8rx+VqVabfPbU0LxpOKZOe3aFr0/xlaRzej77fjn17lCF+ih6KCEQ/fANpKKc+d30tbRW9&#10;CykN+1BZQ0tAy4Zjw/Pi34R/18Hr8RFc/gU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AskEedzAgAATAUAAA4AAAAAAAAAAAAA&#10;AAAALgIAAGRycy9lMm9Eb2MueG1sUEsBAi0AFAAGAAgAAAAhAAlVOi/aAAAAAwEAAA8AAAAAAAAA&#10;AAAAAAAAzQQAAGRycy9kb3ducmV2LnhtbFBLBQYAAAAABAAEAPMAAADUBQAAAAA=&#10;">
                      <v:line id="Line 8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0B3F8035" w14:textId="541F4F59" w:rsidR="00104A14" w:rsidRPr="00E26893" w:rsidRDefault="00C820E8" w:rsidP="00E26893">
            <w:pPr>
              <w:pStyle w:val="TableParagraph"/>
              <w:rPr>
                <w:b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34E53058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4A14"/>
    <w:rsid w:val="00104A14"/>
    <w:rsid w:val="00172923"/>
    <w:rsid w:val="003737D7"/>
    <w:rsid w:val="00421D5D"/>
    <w:rsid w:val="00526B8F"/>
    <w:rsid w:val="005C03DB"/>
    <w:rsid w:val="00605715"/>
    <w:rsid w:val="00754F10"/>
    <w:rsid w:val="007A794E"/>
    <w:rsid w:val="009118B7"/>
    <w:rsid w:val="00952E5C"/>
    <w:rsid w:val="009A7DAC"/>
    <w:rsid w:val="00A03735"/>
    <w:rsid w:val="00BB7382"/>
    <w:rsid w:val="00C820E8"/>
    <w:rsid w:val="00D21011"/>
    <w:rsid w:val="00E26470"/>
    <w:rsid w:val="00E26893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4CC8DD"/>
  <w15:docId w15:val="{C69E4978-E4AC-4806-ADA7-540A7BC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A03735"/>
    <w:rPr>
      <w:color w:val="0000FF" w:themeColor="hyperlink"/>
      <w:u w:val="single"/>
    </w:rPr>
  </w:style>
  <w:style w:type="paragraph" w:styleId="a7">
    <w:name w:val="Normal (Web)"/>
    <w:basedOn w:val="a"/>
    <w:rsid w:val="00A037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D21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.gaszbu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4</cp:revision>
  <dcterms:created xsi:type="dcterms:W3CDTF">2021-09-09T12:29:00Z</dcterms:created>
  <dcterms:modified xsi:type="dcterms:W3CDTF">2021-10-18T09:19:00Z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